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C416" w14:textId="16EC3EF2" w:rsidR="00083EC9" w:rsidRDefault="00B11035">
      <w:r>
        <w:rPr>
          <w:noProof/>
        </w:rPr>
        <w:drawing>
          <wp:inline distT="0" distB="0" distL="0" distR="0" wp14:anchorId="0037797F" wp14:editId="6B3CBDB9">
            <wp:extent cx="4762500" cy="609600"/>
            <wp:effectExtent l="0" t="0" r="0" b="0"/>
            <wp:docPr id="2" name="Picture 2" descr="Wound Repair and Re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und Repair and Regene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01E4" w14:textId="7559388E" w:rsidR="00B11035" w:rsidRDefault="00B11035">
      <w:r>
        <w:t>ABSTRACT</w:t>
      </w:r>
    </w:p>
    <w:p w14:paraId="05C5F5C6" w14:textId="6FF5439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9d60b855.B" w:hAnsi="AdvOT9d60b855.B" w:cs="AdvOT9d60b855.B"/>
          <w:b/>
          <w:bCs/>
          <w:sz w:val="24"/>
          <w:szCs w:val="24"/>
        </w:rPr>
      </w:pPr>
      <w:r w:rsidRPr="00B11035">
        <w:rPr>
          <w:rFonts w:ascii="AdvOT9d60b855.B" w:hAnsi="AdvOT9d60b855.B" w:cs="AdvOT9d60b855.B"/>
          <w:b/>
          <w:bCs/>
          <w:sz w:val="24"/>
          <w:szCs w:val="24"/>
        </w:rPr>
        <w:t>A GLYCERIN-BASED WOUND DRESSING IMPROVES</w:t>
      </w:r>
    </w:p>
    <w:p w14:paraId="16726774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9d60b855.B" w:hAnsi="AdvOT9d60b855.B" w:cs="AdvOT9d60b855.B"/>
          <w:b/>
          <w:bCs/>
          <w:sz w:val="24"/>
          <w:szCs w:val="24"/>
        </w:rPr>
      </w:pPr>
      <w:r w:rsidRPr="00B11035">
        <w:rPr>
          <w:rFonts w:ascii="AdvOT9d60b855.B" w:hAnsi="AdvOT9d60b855.B" w:cs="AdvOT9d60b855.B"/>
          <w:b/>
          <w:bCs/>
          <w:sz w:val="24"/>
          <w:szCs w:val="24"/>
        </w:rPr>
        <w:t>HEALING OUTCOMES IN PRECLINICAL PORCINE MODEL</w:t>
      </w:r>
    </w:p>
    <w:p w14:paraId="3DF77B4C" w14:textId="49FF486F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9d60b855.B" w:hAnsi="AdvOT9d60b855.B" w:cs="AdvOT9d60b855.B"/>
          <w:b/>
          <w:bCs/>
          <w:sz w:val="24"/>
          <w:szCs w:val="24"/>
        </w:rPr>
      </w:pPr>
      <w:r w:rsidRPr="00B11035">
        <w:rPr>
          <w:rFonts w:ascii="AdvOT9d60b855.B" w:hAnsi="AdvOT9d60b855.B" w:cs="AdvOT9d60b855.B"/>
          <w:b/>
          <w:bCs/>
          <w:sz w:val="24"/>
          <w:szCs w:val="24"/>
        </w:rPr>
        <w:t>OF MAXILLOFACIAL BURN TRAUMA</w:t>
      </w:r>
    </w:p>
    <w:p w14:paraId="618AA7AF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9d60b855.B" w:hAnsi="AdvOT9d60b855.B" w:cs="AdvOT9d60b855.B"/>
          <w:sz w:val="24"/>
          <w:szCs w:val="24"/>
        </w:rPr>
      </w:pPr>
    </w:p>
    <w:p w14:paraId="5A41E840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0"/>
          <w:szCs w:val="20"/>
        </w:rPr>
      </w:pPr>
      <w:proofErr w:type="spellStart"/>
      <w:r w:rsidRPr="00B11035">
        <w:rPr>
          <w:rFonts w:ascii="AdvOTf9433e2d" w:hAnsi="AdvOTf9433e2d" w:cs="AdvOTf9433e2d"/>
          <w:sz w:val="20"/>
          <w:szCs w:val="20"/>
        </w:rPr>
        <w:t>Amitava</w:t>
      </w:r>
      <w:proofErr w:type="spellEnd"/>
      <w:r w:rsidRPr="00B11035">
        <w:rPr>
          <w:rFonts w:ascii="AdvOTf9433e2d" w:hAnsi="AdvOTf9433e2d" w:cs="AdvOTf9433e2d"/>
          <w:sz w:val="20"/>
          <w:szCs w:val="20"/>
        </w:rPr>
        <w:t xml:space="preserve"> Das1, Mohamed El-Masry1, Nandini Ghosh2, Anurag Nalluri1,</w:t>
      </w:r>
    </w:p>
    <w:p w14:paraId="2D77D0B1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0"/>
          <w:szCs w:val="20"/>
        </w:rPr>
      </w:pPr>
      <w:r w:rsidRPr="00B11035">
        <w:rPr>
          <w:rFonts w:ascii="AdvOTf9433e2d" w:hAnsi="AdvOTf9433e2d" w:cs="AdvOTf9433e2d"/>
          <w:sz w:val="20"/>
          <w:szCs w:val="20"/>
        </w:rPr>
        <w:t xml:space="preserve">Douglas Guzior2, Valerie Bergdall2, Edward Stout3, </w:t>
      </w:r>
      <w:proofErr w:type="spellStart"/>
      <w:r w:rsidRPr="00B11035">
        <w:rPr>
          <w:rFonts w:ascii="AdvOTf9433e2d" w:hAnsi="AdvOTf9433e2d" w:cs="AdvOTf9433e2d"/>
          <w:sz w:val="20"/>
          <w:szCs w:val="20"/>
        </w:rPr>
        <w:t>Sashwati</w:t>
      </w:r>
      <w:proofErr w:type="spellEnd"/>
      <w:r w:rsidRPr="00B11035">
        <w:rPr>
          <w:rFonts w:ascii="AdvOTf9433e2d" w:hAnsi="AdvOTf9433e2d" w:cs="AdvOTf9433e2d"/>
          <w:sz w:val="20"/>
          <w:szCs w:val="20"/>
        </w:rPr>
        <w:t xml:space="preserve"> Roy1,</w:t>
      </w:r>
    </w:p>
    <w:p w14:paraId="688DF04A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0"/>
          <w:szCs w:val="20"/>
        </w:rPr>
      </w:pPr>
      <w:r w:rsidRPr="00B11035">
        <w:rPr>
          <w:rFonts w:ascii="AdvOTf9433e2d" w:hAnsi="AdvOTf9433e2d" w:cs="AdvOTf9433e2d"/>
          <w:sz w:val="20"/>
          <w:szCs w:val="20"/>
        </w:rPr>
        <w:t>Chandan K. Sen1</w:t>
      </w:r>
    </w:p>
    <w:p w14:paraId="2848267E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0"/>
          <w:szCs w:val="20"/>
        </w:rPr>
      </w:pPr>
      <w:r w:rsidRPr="00B11035">
        <w:rPr>
          <w:rFonts w:ascii="AdvOTf9433e2d" w:hAnsi="AdvOTf9433e2d" w:cs="AdvOTf9433e2d"/>
          <w:sz w:val="20"/>
          <w:szCs w:val="20"/>
        </w:rPr>
        <w:t>1Indiana University School of Medicine, Indianapolis, IN, USA, 2The Ohio State</w:t>
      </w:r>
    </w:p>
    <w:p w14:paraId="72F980EB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0"/>
          <w:szCs w:val="20"/>
        </w:rPr>
      </w:pPr>
      <w:r w:rsidRPr="00B11035">
        <w:rPr>
          <w:rFonts w:ascii="AdvOTf9433e2d" w:hAnsi="AdvOTf9433e2d" w:cs="AdvOTf9433e2d"/>
          <w:sz w:val="20"/>
          <w:szCs w:val="20"/>
        </w:rPr>
        <w:t>University, Columbus, OH, USA, 3Southwest technologies Inc, Kansas City,</w:t>
      </w:r>
    </w:p>
    <w:p w14:paraId="68D3ACB5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0"/>
          <w:szCs w:val="20"/>
        </w:rPr>
      </w:pPr>
      <w:r w:rsidRPr="00B11035">
        <w:rPr>
          <w:rFonts w:ascii="AdvOTf9433e2d" w:hAnsi="AdvOTf9433e2d" w:cs="AdvOTf9433e2d"/>
          <w:sz w:val="20"/>
          <w:szCs w:val="20"/>
        </w:rPr>
        <w:t>MO, USA</w:t>
      </w:r>
    </w:p>
    <w:p w14:paraId="5325E4B6" w14:textId="77777777" w:rsid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9d60b855.B" w:hAnsi="AdvOT9d60b855.B" w:cs="AdvOT9d60b855.B"/>
          <w:sz w:val="24"/>
          <w:szCs w:val="24"/>
        </w:rPr>
      </w:pPr>
    </w:p>
    <w:p w14:paraId="1B9586FB" w14:textId="1F4FCADB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9d60b855.B" w:hAnsi="AdvOT9d60b855.B" w:cs="AdvOT9d60b855.B"/>
          <w:b/>
          <w:bCs/>
          <w:sz w:val="24"/>
          <w:szCs w:val="24"/>
        </w:rPr>
        <w:t>Background</w:t>
      </w:r>
      <w:r w:rsidRPr="00B11035">
        <w:rPr>
          <w:rFonts w:ascii="AdvOT9d60b855.B" w:hAnsi="AdvOT9d60b855.B" w:cs="AdvOT9d60b855.B"/>
          <w:sz w:val="24"/>
          <w:szCs w:val="24"/>
        </w:rPr>
        <w:t xml:space="preserve">: </w:t>
      </w:r>
      <w:r w:rsidRPr="00B11035">
        <w:rPr>
          <w:rFonts w:ascii="AdvOTf9433e2d" w:hAnsi="AdvOTf9433e2d" w:cs="AdvOTf9433e2d"/>
          <w:sz w:val="24"/>
          <w:szCs w:val="24"/>
        </w:rPr>
        <w:t>Thermal injury of the face results in ectropion (</w:t>
      </w:r>
      <w:proofErr w:type="gramStart"/>
      <w:r w:rsidRPr="00B11035">
        <w:rPr>
          <w:rFonts w:ascii="AdvOTf9433e2d" w:hAnsi="AdvOTf9433e2d" w:cs="AdvOTf9433e2d"/>
          <w:sz w:val="24"/>
          <w:szCs w:val="24"/>
        </w:rPr>
        <w:t>epithelial-ocular</w:t>
      </w:r>
      <w:proofErr w:type="gramEnd"/>
    </w:p>
    <w:p w14:paraId="5267FBE3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junction), eversion of the lip (epithelial-oral junction), skin contracture, and excessive</w:t>
      </w:r>
    </w:p>
    <w:p w14:paraId="7A370FD9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scar formation. The resultant facial dis</w:t>
      </w:r>
      <w:r w:rsidRPr="00B11035">
        <w:rPr>
          <w:rFonts w:ascii="AdvOTf9433e2d+fb" w:hAnsi="AdvOTf9433e2d+fb" w:cs="AdvOTf9433e2d+fb"/>
          <w:sz w:val="24"/>
          <w:szCs w:val="24"/>
        </w:rPr>
        <w:t>fi</w:t>
      </w:r>
      <w:r w:rsidRPr="00B11035">
        <w:rPr>
          <w:rFonts w:ascii="AdvOTf9433e2d" w:hAnsi="AdvOTf9433e2d" w:cs="AdvOTf9433e2d"/>
          <w:sz w:val="24"/>
          <w:szCs w:val="24"/>
        </w:rPr>
        <w:t>guration along with features such as</w:t>
      </w:r>
    </w:p>
    <w:p w14:paraId="2D67F69D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oral incompetence burdens the subject socially, emotionally, and psychologically.</w:t>
      </w:r>
    </w:p>
    <w:p w14:paraId="086CA567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The goal of this work was to test the healing outcomes of a glycerin-based wound</w:t>
      </w:r>
    </w:p>
    <w:p w14:paraId="4B121504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 xml:space="preserve">dressing 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Elasto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>-Gel on a preclinical porcine model of maxillofacial burn trauma.</w:t>
      </w:r>
    </w:p>
    <w:p w14:paraId="0FBD27ED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9d60b855.B" w:hAnsi="AdvOT9d60b855.B" w:cs="AdvOT9d60b855.B"/>
          <w:sz w:val="24"/>
          <w:szCs w:val="24"/>
        </w:rPr>
        <w:t xml:space="preserve">Methods: </w:t>
      </w:r>
      <w:r w:rsidRPr="00B11035">
        <w:rPr>
          <w:rFonts w:ascii="AdvOTf9433e2d" w:hAnsi="AdvOTf9433e2d" w:cs="AdvOTf9433e2d"/>
          <w:sz w:val="24"/>
          <w:szCs w:val="24"/>
        </w:rPr>
        <w:t>Fourth degree burn wounds involving 50% of the face were made on</w:t>
      </w:r>
    </w:p>
    <w:p w14:paraId="66B17108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female domestic Yorkshire pigs using a gauged, electrically powered burner which</w:t>
      </w:r>
    </w:p>
    <w:p w14:paraId="404A3A1D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continually measures the temperature of the instrument and increases the power to</w:t>
      </w:r>
    </w:p>
    <w:p w14:paraId="7AA44E30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the heated stylus to maintain the desired temperature. Wounds were treated with placebo</w:t>
      </w:r>
    </w:p>
    <w:p w14:paraId="0C58779C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dressing (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Acticoat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 xml:space="preserve">) or 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Elasto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>-Gel once a week for 84 days. The burn affected</w:t>
      </w:r>
    </w:p>
    <w:p w14:paraId="38F14C00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50% of the face and caused injury to the mandibular bone. Progression of burn</w:t>
      </w:r>
    </w:p>
    <w:p w14:paraId="1BFD7BE9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wound healing was followed using noninvasive imaging such as (1) laser speckle</w:t>
      </w:r>
    </w:p>
    <w:p w14:paraId="6687604D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proofErr w:type="spellStart"/>
      <w:r w:rsidRPr="00B11035">
        <w:rPr>
          <w:rFonts w:ascii="AdvOTf9433e2d" w:hAnsi="AdvOTf9433e2d" w:cs="AdvOTf9433e2d"/>
          <w:sz w:val="24"/>
          <w:szCs w:val="24"/>
        </w:rPr>
        <w:t>microperfusion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 xml:space="preserve"> imaging, (2) harmonic ultrasound Doppler imaging, and (3) computed</w:t>
      </w:r>
    </w:p>
    <w:p w14:paraId="48E92841" w14:textId="4A33A644" w:rsidR="00B11035" w:rsidRDefault="00B11035" w:rsidP="00B11035">
      <w:pPr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tomography with angiography for 3D reconstruction of face and vasculature.</w:t>
      </w:r>
    </w:p>
    <w:p w14:paraId="17D9B7CD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9d60b855.B" w:hAnsi="AdvOT9d60b855.B" w:cs="AdvOT9d60b855.B"/>
          <w:b/>
          <w:bCs/>
          <w:sz w:val="24"/>
          <w:szCs w:val="24"/>
        </w:rPr>
        <w:t>Results:</w:t>
      </w:r>
      <w:r w:rsidRPr="00B11035">
        <w:rPr>
          <w:rFonts w:ascii="AdvOT9d60b855.B" w:hAnsi="AdvOT9d60b855.B" w:cs="AdvOT9d60b855.B"/>
          <w:sz w:val="24"/>
          <w:szCs w:val="24"/>
        </w:rPr>
        <w:t xml:space="preserve"> </w:t>
      </w:r>
      <w:r w:rsidRPr="00B11035">
        <w:rPr>
          <w:rFonts w:ascii="AdvOTf9433e2d" w:hAnsi="AdvOTf9433e2d" w:cs="AdvOTf9433e2d"/>
          <w:sz w:val="24"/>
          <w:szCs w:val="24"/>
        </w:rPr>
        <w:t>The application of heat resulted in a fourth degree burn with bone</w:t>
      </w:r>
    </w:p>
    <w:p w14:paraId="166CFC3B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involvement showing severe de</w:t>
      </w:r>
      <w:r w:rsidRPr="00B11035">
        <w:rPr>
          <w:rFonts w:ascii="AdvOTf9433e2d+fb" w:hAnsi="AdvOTf9433e2d+fb" w:cs="AdvOTf9433e2d+fb"/>
          <w:sz w:val="24"/>
          <w:szCs w:val="24"/>
        </w:rPr>
        <w:t>fi</w:t>
      </w:r>
      <w:r w:rsidRPr="00B11035">
        <w:rPr>
          <w:rFonts w:ascii="AdvOTf9433e2d" w:hAnsi="AdvOTf9433e2d" w:cs="AdvOTf9433e2d"/>
          <w:sz w:val="24"/>
          <w:szCs w:val="24"/>
        </w:rPr>
        <w:t>cits including ectropion, eversion of the oral</w:t>
      </w:r>
    </w:p>
    <w:p w14:paraId="6E152538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mucosa, overt contracture and excessive scarring. Affected pigs suffered from</w:t>
      </w:r>
    </w:p>
    <w:p w14:paraId="3C41C19E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drooling during eating. Contracture and scarring were dramatically evident at d84</w:t>
      </w:r>
    </w:p>
    <w:p w14:paraId="41AD9002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 xml:space="preserve">post burn. 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Elasto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>-Gel signi</w:t>
      </w:r>
      <w:r w:rsidRPr="00B11035">
        <w:rPr>
          <w:rFonts w:ascii="AdvOTf9433e2d+fb" w:hAnsi="AdvOTf9433e2d+fb" w:cs="AdvOTf9433e2d+fb"/>
          <w:sz w:val="24"/>
          <w:szCs w:val="24"/>
        </w:rPr>
        <w:t>fi</w:t>
      </w:r>
      <w:r w:rsidRPr="00B11035">
        <w:rPr>
          <w:rFonts w:ascii="AdvOTf9433e2d" w:hAnsi="AdvOTf9433e2d" w:cs="AdvOTf9433e2d"/>
          <w:sz w:val="24"/>
          <w:szCs w:val="24"/>
        </w:rPr>
        <w:t>cantly accelerated the rate of wound closure during</w:t>
      </w:r>
    </w:p>
    <w:p w14:paraId="3A7A6CC0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the acute phase (p&lt;0.05; n=3). The later phase of healing was characterized by</w:t>
      </w:r>
    </w:p>
    <w:p w14:paraId="05AADB4B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 xml:space="preserve">increased regression of blood vessels upon 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Elasto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>-Gel treatment (p&lt;0.05; n=3).</w:t>
      </w:r>
    </w:p>
    <w:p w14:paraId="06AB820C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 xml:space="preserve">Interestingly 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Elasto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>-Gel treated wounds showed signi</w:t>
      </w:r>
      <w:r w:rsidRPr="00B11035">
        <w:rPr>
          <w:rFonts w:ascii="AdvOTf9433e2d+fb" w:hAnsi="AdvOTf9433e2d+fb" w:cs="AdvOTf9433e2d+fb"/>
          <w:sz w:val="24"/>
          <w:szCs w:val="24"/>
        </w:rPr>
        <w:t>fi</w:t>
      </w:r>
      <w:r w:rsidRPr="00B11035">
        <w:rPr>
          <w:rFonts w:ascii="AdvOTf9433e2d" w:hAnsi="AdvOTf9433e2d" w:cs="AdvOTf9433e2d"/>
          <w:sz w:val="24"/>
          <w:szCs w:val="24"/>
        </w:rPr>
        <w:t>cantly less scar area at all</w:t>
      </w:r>
    </w:p>
    <w:p w14:paraId="7CA8C9DE" w14:textId="63E602A7" w:rsid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>time-points (d21, d42, d63 and d84; p&lt;0.05; n=3).</w:t>
      </w:r>
    </w:p>
    <w:p w14:paraId="0A00B509" w14:textId="77777777" w:rsidR="00173547" w:rsidRPr="00B11035" w:rsidRDefault="00173547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</w:p>
    <w:p w14:paraId="72553CBC" w14:textId="77777777" w:rsidR="00B11035" w:rsidRPr="00B11035" w:rsidRDefault="00B11035" w:rsidP="00B11035">
      <w:pPr>
        <w:autoSpaceDE w:val="0"/>
        <w:autoSpaceDN w:val="0"/>
        <w:adjustRightInd w:val="0"/>
        <w:spacing w:after="0" w:line="240" w:lineRule="auto"/>
        <w:rPr>
          <w:rFonts w:ascii="AdvOTf9433e2d" w:hAnsi="AdvOTf9433e2d" w:cs="AdvOTf9433e2d"/>
          <w:sz w:val="24"/>
          <w:szCs w:val="24"/>
        </w:rPr>
      </w:pPr>
      <w:r w:rsidRPr="00173547">
        <w:rPr>
          <w:rFonts w:ascii="AdvOT9d60b855.B" w:hAnsi="AdvOT9d60b855.B" w:cs="AdvOT9d60b855.B"/>
          <w:b/>
          <w:bCs/>
          <w:sz w:val="24"/>
          <w:szCs w:val="24"/>
        </w:rPr>
        <w:t>Conclusion:</w:t>
      </w:r>
      <w:r w:rsidRPr="00B11035">
        <w:rPr>
          <w:rFonts w:ascii="AdvOT9d60b855.B" w:hAnsi="AdvOT9d60b855.B" w:cs="AdvOT9d60b855.B"/>
          <w:sz w:val="24"/>
          <w:szCs w:val="24"/>
        </w:rPr>
        <w:t xml:space="preserve"> </w:t>
      </w:r>
      <w:r w:rsidRPr="00B11035">
        <w:rPr>
          <w:rFonts w:ascii="AdvOTf9433e2d" w:hAnsi="AdvOTf9433e2d" w:cs="AdvOTf9433e2d"/>
          <w:sz w:val="24"/>
          <w:szCs w:val="24"/>
        </w:rPr>
        <w:t>This work constitutes maiden report on a porcine model of severe</w:t>
      </w:r>
    </w:p>
    <w:p w14:paraId="3A7E5B2A" w14:textId="54A2502B" w:rsidR="00B11035" w:rsidRDefault="00B11035" w:rsidP="00B11035">
      <w:pPr>
        <w:rPr>
          <w:rFonts w:ascii="AdvOTf9433e2d" w:hAnsi="AdvOTf9433e2d" w:cs="AdvOTf9433e2d"/>
          <w:sz w:val="24"/>
          <w:szCs w:val="24"/>
        </w:rPr>
      </w:pPr>
      <w:r w:rsidRPr="00B11035">
        <w:rPr>
          <w:rFonts w:ascii="AdvOTf9433e2d" w:hAnsi="AdvOTf9433e2d" w:cs="AdvOTf9433e2d"/>
          <w:sz w:val="24"/>
          <w:szCs w:val="24"/>
        </w:rPr>
        <w:t xml:space="preserve">facial burn contracture. Application of </w:t>
      </w:r>
      <w:proofErr w:type="spellStart"/>
      <w:r w:rsidRPr="00B11035">
        <w:rPr>
          <w:rFonts w:ascii="AdvOTf9433e2d" w:hAnsi="AdvOTf9433e2d" w:cs="AdvOTf9433e2d"/>
          <w:sz w:val="24"/>
          <w:szCs w:val="24"/>
        </w:rPr>
        <w:t>Elasto</w:t>
      </w:r>
      <w:proofErr w:type="spellEnd"/>
      <w:r w:rsidRPr="00B11035">
        <w:rPr>
          <w:rFonts w:ascii="AdvOTf9433e2d" w:hAnsi="AdvOTf9433e2d" w:cs="AdvOTf9433e2d"/>
          <w:sz w:val="24"/>
          <w:szCs w:val="24"/>
        </w:rPr>
        <w:t>-Gel dressing minimized scar outcomes.</w:t>
      </w:r>
    </w:p>
    <w:p w14:paraId="489ED449" w14:textId="1CC7C1DD" w:rsidR="000D6B81" w:rsidRDefault="00B11035" w:rsidP="00B11035">
      <w:pPr>
        <w:rPr>
          <w:rFonts w:ascii="AdvOT0de51fd2" w:hAnsi="AdvOT0de51fd2" w:cs="AdvOT0de51fd2"/>
          <w:b/>
          <w:bCs/>
          <w:sz w:val="18"/>
          <w:szCs w:val="18"/>
        </w:rPr>
      </w:pPr>
      <w:r w:rsidRPr="00B11035">
        <w:rPr>
          <w:rFonts w:ascii="AdvOT0de51fd2" w:hAnsi="AdvOT0de51fd2" w:cs="AdvOT0de51fd2"/>
          <w:b/>
          <w:bCs/>
          <w:sz w:val="18"/>
          <w:szCs w:val="18"/>
        </w:rPr>
        <w:t xml:space="preserve">Wound Rep Reg (2019) </w:t>
      </w:r>
      <w:r w:rsidRPr="00B11035">
        <w:rPr>
          <w:rFonts w:ascii="AdvOT3bf1a849.B" w:hAnsi="AdvOT3bf1a849.B" w:cs="AdvOT3bf1a849.B"/>
          <w:b/>
          <w:bCs/>
          <w:sz w:val="18"/>
          <w:szCs w:val="18"/>
        </w:rPr>
        <w:t xml:space="preserve">27 </w:t>
      </w:r>
      <w:r w:rsidRPr="00B11035">
        <w:rPr>
          <w:rFonts w:ascii="AdvOT0de51fd2" w:hAnsi="AdvOT0de51fd2" w:cs="AdvOT0de51fd2"/>
          <w:b/>
          <w:bCs/>
          <w:sz w:val="18"/>
          <w:szCs w:val="18"/>
        </w:rPr>
        <w:t>A</w:t>
      </w:r>
      <w:r>
        <w:rPr>
          <w:rFonts w:ascii="AdvOT0de51fd2" w:hAnsi="AdvOT0de51fd2" w:cs="AdvOT0de51fd2"/>
          <w:b/>
          <w:bCs/>
          <w:sz w:val="18"/>
          <w:szCs w:val="18"/>
        </w:rPr>
        <w:t>23</w:t>
      </w:r>
      <w:r w:rsidRPr="00B11035">
        <w:rPr>
          <w:rFonts w:ascii="AdvOT0de51fd2" w:hAnsi="AdvOT0de51fd2" w:cs="AdvOT0de51fd2"/>
          <w:b/>
          <w:bCs/>
          <w:sz w:val="18"/>
          <w:szCs w:val="18"/>
        </w:rPr>
        <w:t xml:space="preserve"> © 2019 by the Wound Healing Society</w:t>
      </w:r>
    </w:p>
    <w:sectPr w:rsidR="000D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9d60b855.B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f9433e2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OTf9433e2d+fb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OT0de51fd2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OT3bf1a849.B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35"/>
    <w:rsid w:val="00083EC9"/>
    <w:rsid w:val="000D6B81"/>
    <w:rsid w:val="00173547"/>
    <w:rsid w:val="009F55B3"/>
    <w:rsid w:val="00B11035"/>
    <w:rsid w:val="00E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EEE0"/>
  <w15:chartTrackingRefBased/>
  <w15:docId w15:val="{29DC1266-45D1-4C75-B2D5-BCCBDDD3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Farquharson</dc:creator>
  <cp:keywords/>
  <dc:description/>
  <cp:lastModifiedBy>Phillips, Hannah O. (UMKC-Student)</cp:lastModifiedBy>
  <cp:revision>6</cp:revision>
  <dcterms:created xsi:type="dcterms:W3CDTF">2021-03-24T19:56:00Z</dcterms:created>
  <dcterms:modified xsi:type="dcterms:W3CDTF">2021-05-19T16:50:00Z</dcterms:modified>
</cp:coreProperties>
</file>